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w:t>
      </w:r>
      <w:bookmarkStart w:id="0" w:name="_GoBack"/>
      <w:bookmarkEnd w:id="0"/>
      <w:r>
        <w:rPr>
          <w:rFonts w:hint="default" w:ascii="Times New Roman" w:hAnsi="Times New Roman" w:eastAsia="方正小标宋简体" w:cs="Times New Roman"/>
          <w:b w:val="0"/>
          <w:bCs w:val="0"/>
          <w:color w:val="auto"/>
          <w:spacing w:val="20"/>
          <w:w w:val="100"/>
          <w:kern w:val="0"/>
          <w:sz w:val="44"/>
          <w:szCs w:val="44"/>
          <w:highlight w:val="none"/>
          <w:lang w:val="en-US" w:eastAsia="zh-CN"/>
        </w:rPr>
        <w:t>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26</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一、网上挂牌出让地块基本情况及规划指标要求（见附表）</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二、挂牌起始价及加价幅度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578</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万元的整数倍。</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三、时间安排</w:t>
      </w:r>
    </w:p>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（一）公告时间：2022年</w:t>
      </w:r>
      <w:r>
        <w:rPr>
          <w:rFonts w:hint="eastAsia" w:ascii="Times New Roman" w:hAnsi="Times New Roman" w:eastAsia="仿宋_GB2312" w:cs="Times New Roman"/>
          <w:color w:val="000000"/>
          <w:spacing w:val="0"/>
          <w:w w:val="100"/>
          <w:position w:val="0"/>
          <w:sz w:val="32"/>
          <w:szCs w:val="32"/>
          <w:lang w:val="en-US" w:eastAsia="zh-CN"/>
        </w:rPr>
        <w:t>12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日至2022年</w:t>
      </w:r>
      <w:r>
        <w:rPr>
          <w:rFonts w:hint="eastAsia" w:ascii="Times New Roman" w:hAnsi="Times New Roman" w:eastAsia="仿宋_GB2312" w:cs="Times New Roman"/>
          <w:color w:val="000000"/>
          <w:spacing w:val="0"/>
          <w:w w:val="100"/>
          <w:position w:val="0"/>
          <w:sz w:val="32"/>
          <w:szCs w:val="32"/>
          <w:lang w:val="en-US" w:eastAsia="zh-CN"/>
        </w:rPr>
        <w:t>12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30</w:t>
      </w:r>
      <w:r>
        <w:rPr>
          <w:rFonts w:hint="default" w:ascii="Times New Roman" w:hAnsi="Times New Roman" w:eastAsia="仿宋_GB2312" w:cs="Times New Roman"/>
          <w:color w:val="000000"/>
          <w:spacing w:val="0"/>
          <w:w w:val="100"/>
          <w:position w:val="0"/>
          <w:sz w:val="32"/>
          <w:szCs w:val="32"/>
        </w:rPr>
        <w:t>日。</w:t>
      </w:r>
    </w:p>
    <w:p>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30</w:t>
      </w:r>
      <w:r>
        <w:rPr>
          <w:rFonts w:hint="default" w:ascii="Times New Roman" w:hAnsi="Times New Roman" w:eastAsia="仿宋_GB2312" w:cs="Times New Roman"/>
          <w:color w:val="000000"/>
          <w:spacing w:val="0"/>
          <w:w w:val="100"/>
          <w:position w:val="0"/>
          <w:sz w:val="32"/>
          <w:szCs w:val="32"/>
        </w:rPr>
        <w:t>日9时至202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年1月</w:t>
      </w:r>
      <w:r>
        <w:rPr>
          <w:rFonts w:hint="eastAsia" w:ascii="Times New Roman" w:hAnsi="Times New Roman" w:eastAsia="仿宋_GB2312" w:cs="Times New Roman"/>
          <w:color w:val="000000"/>
          <w:spacing w:val="0"/>
          <w:w w:val="100"/>
          <w:position w:val="0"/>
          <w:sz w:val="32"/>
          <w:szCs w:val="32"/>
          <w:lang w:val="en-US" w:eastAsia="zh-CN"/>
        </w:rPr>
        <w:t>16</w:t>
      </w:r>
      <w:r>
        <w:rPr>
          <w:rFonts w:hint="default" w:ascii="Times New Roman" w:hAnsi="Times New Roman" w:eastAsia="仿宋_GB2312" w:cs="Times New Roman"/>
          <w:color w:val="000000"/>
          <w:spacing w:val="0"/>
          <w:w w:val="100"/>
          <w:position w:val="0"/>
          <w:sz w:val="32"/>
          <w:szCs w:val="32"/>
        </w:rPr>
        <w:t>日10时。</w:t>
      </w:r>
    </w:p>
    <w:p>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（三）竞买保证金到账截止时间为：202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年1月</w:t>
      </w:r>
      <w:r>
        <w:rPr>
          <w:rFonts w:hint="eastAsia" w:ascii="Times New Roman" w:hAnsi="Times New Roman" w:eastAsia="仿宋_GB2312" w:cs="Times New Roman"/>
          <w:color w:val="000000"/>
          <w:spacing w:val="0"/>
          <w:w w:val="100"/>
          <w:position w:val="0"/>
          <w:sz w:val="32"/>
          <w:szCs w:val="32"/>
          <w:lang w:val="en-US" w:eastAsia="zh-CN"/>
        </w:rPr>
        <w:t>16</w:t>
      </w:r>
      <w:r>
        <w:rPr>
          <w:rFonts w:hint="default" w:ascii="Times New Roman" w:hAnsi="Times New Roman" w:eastAsia="仿宋_GB2312" w:cs="Times New Roman"/>
          <w:color w:val="000000"/>
          <w:spacing w:val="0"/>
          <w:w w:val="100"/>
          <w:position w:val="0"/>
          <w:sz w:val="32"/>
          <w:szCs w:val="32"/>
        </w:rPr>
        <w:t>日9时。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四、竞买资格及要求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116</w:t>
      </w:r>
      <w:r>
        <w:rPr>
          <w:rFonts w:hint="default" w:ascii="Times New Roman" w:hAnsi="Times New Roman" w:eastAsia="仿宋_GB2312" w:cs="Times New Roman"/>
          <w:color w:val="000000"/>
          <w:spacing w:val="0"/>
          <w:w w:val="100"/>
          <w:position w:val="0"/>
          <w:sz w:val="32"/>
          <w:szCs w:val="32"/>
        </w:rPr>
        <w:t>万元人民币；</w:t>
      </w:r>
    </w:p>
    <w:p>
      <w:pPr>
        <w:pStyle w:val="9"/>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五、需要说明的事项</w:t>
      </w:r>
    </w:p>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lang w:val="en-US" w:eastAsia="zh-CN"/>
        </w:rPr>
      </w:pPr>
      <w:r>
        <w:rPr>
          <w:rFonts w:hint="eastAsia" w:ascii="Times New Roman" w:hAnsi="Times New Roman" w:eastAsia="仿宋_GB2312" w:cs="Times New Roman"/>
          <w:color w:val="000000"/>
          <w:spacing w:val="0"/>
          <w:w w:val="100"/>
          <w:position w:val="0"/>
          <w:sz w:val="32"/>
          <w:szCs w:val="32"/>
          <w:lang w:val="en-US" w:eastAsia="zh-CN"/>
        </w:rPr>
        <w:t>（一）竞得人除缴交成交地价款外，还需按规定缴交契税等有关税费；</w:t>
      </w:r>
    </w:p>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eastAsia" w:ascii="Times New Roman" w:hAnsi="Times New Roman" w:eastAsia="仿宋_GB2312" w:cs="Times New Roman"/>
          <w:color w:val="000000"/>
          <w:spacing w:val="0"/>
          <w:w w:val="100"/>
          <w:position w:val="0"/>
          <w:sz w:val="32"/>
          <w:szCs w:val="32"/>
          <w:lang w:val="en-US" w:eastAsia="zh-CN"/>
        </w:rPr>
        <w:t>（二）非仲恺高新区注册登记的企业竞得土地使用权的，必须在竞得土地后2个月内在仲恺高新区市场监督管理部门注册成立项目开发公司，并以该公司名义办理土地出让与登记发证手续。</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六、竞买保证金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116</w:t>
      </w:r>
      <w:r>
        <w:rPr>
          <w:rFonts w:hint="default" w:ascii="Times New Roman" w:hAnsi="Times New Roman" w:eastAsia="仿宋_GB2312" w:cs="Times New Roman"/>
          <w:color w:val="000000"/>
          <w:spacing w:val="0"/>
          <w:w w:val="100"/>
          <w:position w:val="0"/>
          <w:sz w:val="32"/>
          <w:szCs w:val="32"/>
        </w:rPr>
        <w:t>万元。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七、竞买申请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八、竞买人电子报价及电子限时竞价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九、确定成交候选人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年1月</w:t>
      </w:r>
      <w:r>
        <w:rPr>
          <w:rFonts w:hint="eastAsia" w:ascii="Times New Roman" w:hAnsi="Times New Roman" w:eastAsia="仿宋_GB2312" w:cs="Times New Roman"/>
          <w:color w:val="000000"/>
          <w:spacing w:val="0"/>
          <w:w w:val="100"/>
          <w:position w:val="0"/>
          <w:sz w:val="32"/>
          <w:szCs w:val="32"/>
          <w:lang w:val="en-US" w:eastAsia="zh-CN"/>
        </w:rPr>
        <w:t>23</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均一式两份</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（一）《竞买申请书》（加盖公章）；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（二）《竞价结果通知书》（加盖公章）；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八</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rPr>
        <w:t>保证金承诺书</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（一）不符合竞买资格条件的；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CN" w:eastAsia="zh-CN"/>
        </w:rPr>
        <w:t>（</w:t>
      </w:r>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rPr>
        <w:t>《出让合同》签订之日交付土地；动工时间为土地交付之日起1年内，竣工时间为土地交付之日起3年内</w:t>
      </w:r>
      <w:r>
        <w:rPr>
          <w:rFonts w:hint="default" w:ascii="Times New Roman" w:hAnsi="Times New Roman" w:eastAsia="仿宋_GB2312" w:cs="Times New Roman"/>
          <w:color w:val="000000"/>
          <w:spacing w:val="0"/>
          <w:w w:val="100"/>
          <w:position w:val="0"/>
          <w:sz w:val="32"/>
          <w:szCs w:val="32"/>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林志强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33</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欧阳海棠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6"/>
        <w:tblpPr w:leftFromText="180" w:rightFromText="180" w:vertAnchor="text" w:horzAnchor="page" w:tblpX="1527" w:tblpY="8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50"/>
        <w:gridCol w:w="850"/>
        <w:gridCol w:w="889"/>
        <w:gridCol w:w="642"/>
        <w:gridCol w:w="798"/>
        <w:gridCol w:w="777"/>
        <w:gridCol w:w="901"/>
        <w:gridCol w:w="788"/>
        <w:gridCol w:w="775"/>
        <w:gridCol w:w="1755"/>
        <w:gridCol w:w="745"/>
        <w:gridCol w:w="901"/>
        <w:gridCol w:w="854"/>
        <w:gridCol w:w="8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775"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85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85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88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5794" w:type="dxa"/>
            <w:gridSpan w:val="6"/>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45"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90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5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2"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8"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75"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p>
        </w:tc>
        <w:tc>
          <w:tcPr>
            <w:tcW w:w="90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p>
        </w:tc>
        <w:tc>
          <w:tcPr>
            <w:tcW w:w="78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w:t>
            </w:r>
            <w:r>
              <w:rPr>
                <w:rFonts w:hint="eastAsia" w:cs="Times New Roman"/>
                <w:b w:val="0"/>
                <w:bCs w:val="0"/>
                <w:color w:val="auto"/>
                <w:sz w:val="18"/>
                <w:szCs w:val="18"/>
                <w:highlight w:val="none"/>
                <w:vertAlign w:val="baseline"/>
                <w:lang w:val="en-US" w:eastAsia="zh-CN"/>
              </w:rPr>
              <w:t>密度</w:t>
            </w:r>
            <w:r>
              <w:rPr>
                <w:rFonts w:hint="default" w:ascii="Times New Roman" w:hAnsi="Times New Roman" w:eastAsia="宋体" w:cs="Times New Roman"/>
                <w:b w:val="0"/>
                <w:bCs w:val="0"/>
                <w:color w:val="auto"/>
                <w:sz w:val="18"/>
                <w:szCs w:val="18"/>
                <w:highlight w:val="none"/>
                <w:vertAlign w:val="baseline"/>
                <w:lang w:eastAsia="zh-CN"/>
              </w:rPr>
              <w:t>（</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75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745"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0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2"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8"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惠仲土（用地）挂[2022]0</w:t>
            </w:r>
            <w:r>
              <w:rPr>
                <w:rFonts w:hint="eastAsia" w:ascii="宋体" w:hAnsi="宋体" w:cs="宋体"/>
                <w:b w:val="0"/>
                <w:bCs w:val="0"/>
                <w:color w:val="auto"/>
                <w:sz w:val="18"/>
                <w:szCs w:val="18"/>
                <w:highlight w:val="none"/>
                <w:vertAlign w:val="baseline"/>
                <w:lang w:val="en-US" w:eastAsia="zh-CN"/>
              </w:rPr>
              <w:t>18</w:t>
            </w:r>
            <w:r>
              <w:rPr>
                <w:rFonts w:hint="eastAsia" w:ascii="宋体" w:hAnsi="宋体" w:eastAsia="宋体" w:cs="宋体"/>
                <w:b w:val="0"/>
                <w:bCs w:val="0"/>
                <w:color w:val="auto"/>
                <w:sz w:val="18"/>
                <w:szCs w:val="18"/>
                <w:highlight w:val="none"/>
                <w:vertAlign w:val="baseline"/>
                <w:lang w:val="en-US" w:eastAsia="zh-CN"/>
              </w:rPr>
              <w:t>号</w:t>
            </w:r>
          </w:p>
        </w:tc>
        <w:tc>
          <w:tcPr>
            <w:tcW w:w="85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eastAsia" w:cs="Times New Roman"/>
                <w:b w:val="0"/>
                <w:bCs w:val="0"/>
                <w:color w:val="auto"/>
                <w:sz w:val="18"/>
                <w:szCs w:val="18"/>
                <w:highlight w:val="none"/>
                <w:vertAlign w:val="baseline"/>
                <w:lang w:val="en-US" w:eastAsia="zh-CN"/>
              </w:rPr>
              <w:t>潼侨东片区及陈江观田片区</w:t>
            </w:r>
          </w:p>
        </w:tc>
        <w:tc>
          <w:tcPr>
            <w:tcW w:w="85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ZKC-007-15-02</w:t>
            </w:r>
          </w:p>
        </w:tc>
        <w:tc>
          <w:tcPr>
            <w:tcW w:w="88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3144</w:t>
            </w:r>
            <w:r>
              <w:rPr>
                <w:rFonts w:hint="eastAsia" w:ascii="宋体" w:hAnsi="宋体" w:eastAsia="宋体" w:cs="宋体"/>
                <w:color w:val="auto"/>
                <w:kern w:val="2"/>
                <w:sz w:val="18"/>
                <w:szCs w:val="18"/>
                <w:highlight w:val="none"/>
                <w:lang w:val="en-US" w:eastAsia="zh-CN" w:bidi="ar-SA"/>
              </w:rPr>
              <w:t>（其中使用权面积为</w:t>
            </w:r>
            <w:r>
              <w:rPr>
                <w:rFonts w:hint="eastAsia" w:ascii="宋体" w:hAnsi="宋体" w:cs="宋体"/>
                <w:color w:val="auto"/>
                <w:kern w:val="2"/>
                <w:sz w:val="18"/>
                <w:szCs w:val="18"/>
                <w:highlight w:val="none"/>
                <w:lang w:val="en-US" w:eastAsia="zh-CN" w:bidi="ar-SA"/>
              </w:rPr>
              <w:t>2471</w:t>
            </w:r>
            <w:r>
              <w:rPr>
                <w:rFonts w:hint="eastAsia" w:ascii="宋体" w:hAnsi="宋体" w:eastAsia="宋体" w:cs="宋体"/>
                <w:color w:val="auto"/>
                <w:kern w:val="2"/>
                <w:sz w:val="18"/>
                <w:szCs w:val="18"/>
                <w:highlight w:val="none"/>
                <w:lang w:val="en-US" w:eastAsia="zh-CN" w:bidi="ar-SA"/>
              </w:rPr>
              <w:t>㎡）</w:t>
            </w:r>
          </w:p>
        </w:tc>
        <w:tc>
          <w:tcPr>
            <w:tcW w:w="642"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医疗卫生用地</w:t>
            </w: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3144</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p>
        </w:tc>
        <w:tc>
          <w:tcPr>
            <w:tcW w:w="90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10061</w:t>
            </w:r>
          </w:p>
        </w:tc>
        <w:tc>
          <w:tcPr>
            <w:tcW w:w="78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default" w:ascii="宋体" w:hAnsi="宋体" w:eastAsia="宋体" w:cs="宋体"/>
                <w:color w:val="auto"/>
                <w:sz w:val="18"/>
                <w:szCs w:val="18"/>
                <w:highlight w:val="none"/>
                <w:lang w:val="en-US" w:eastAsia="zh-CN"/>
              </w:rPr>
              <w:t>30</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35</w:t>
            </w:r>
          </w:p>
        </w:tc>
        <w:tc>
          <w:tcPr>
            <w:tcW w:w="175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按每100㎡计容积率建筑面积≥1.5个配建；</w:t>
            </w:r>
            <w:r>
              <w:rPr>
                <w:rFonts w:hint="default" w:ascii="宋体" w:hAnsi="宋体" w:eastAsia="宋体" w:cs="宋体"/>
                <w:color w:val="auto"/>
                <w:sz w:val="18"/>
                <w:szCs w:val="18"/>
                <w:highlight w:val="none"/>
                <w:lang w:val="en-US" w:eastAsia="zh-CN"/>
              </w:rPr>
              <w:t>配建停车位应按要求建设充电基础设施或预留建设安装条件</w:t>
            </w:r>
          </w:p>
        </w:tc>
        <w:tc>
          <w:tcPr>
            <w:tcW w:w="74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46.2</w:t>
            </w:r>
          </w:p>
        </w:tc>
        <w:tc>
          <w:tcPr>
            <w:tcW w:w="90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578</w:t>
            </w:r>
          </w:p>
        </w:tc>
        <w:tc>
          <w:tcPr>
            <w:tcW w:w="85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862"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116</w:t>
            </w:r>
          </w:p>
        </w:tc>
        <w:tc>
          <w:tcPr>
            <w:tcW w:w="88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202</w:t>
            </w:r>
            <w:r>
              <w:rPr>
                <w:rFonts w:hint="eastAsia" w:ascii="宋体" w:hAnsi="宋体" w:cs="宋体"/>
                <w:b w:val="0"/>
                <w:bCs w:val="0"/>
                <w:color w:val="auto"/>
                <w:sz w:val="18"/>
                <w:szCs w:val="18"/>
                <w:highlight w:val="none"/>
                <w:vertAlign w:val="baseline"/>
                <w:lang w:val="en-US" w:eastAsia="zh-CN"/>
              </w:rPr>
              <w:t>3</w:t>
            </w:r>
            <w:r>
              <w:rPr>
                <w:rFonts w:hint="eastAsia" w:ascii="宋体" w:hAnsi="宋体" w:eastAsia="宋体" w:cs="宋体"/>
                <w:b w:val="0"/>
                <w:bCs w:val="0"/>
                <w:color w:val="auto"/>
                <w:sz w:val="18"/>
                <w:szCs w:val="18"/>
                <w:highlight w:val="none"/>
                <w:vertAlign w:val="baseline"/>
                <w:lang w:val="en-US" w:eastAsia="zh-CN"/>
              </w:rPr>
              <w:t>年1月</w:t>
            </w:r>
            <w:r>
              <w:rPr>
                <w:rFonts w:hint="eastAsia" w:ascii="宋体" w:hAnsi="宋体" w:cs="宋体"/>
                <w:b w:val="0"/>
                <w:bCs w:val="0"/>
                <w:color w:val="auto"/>
                <w:sz w:val="18"/>
                <w:szCs w:val="18"/>
                <w:highlight w:val="none"/>
                <w:vertAlign w:val="baseline"/>
                <w:lang w:val="en-US" w:eastAsia="zh-CN"/>
              </w:rPr>
              <w:t>16</w:t>
            </w:r>
            <w:r>
              <w:rPr>
                <w:rFonts w:hint="eastAsia" w:ascii="宋体" w:hAnsi="宋体" w:eastAsia="宋体" w:cs="宋体"/>
                <w:b w:val="0"/>
                <w:bCs w:val="0"/>
                <w:color w:val="auto"/>
                <w:sz w:val="18"/>
                <w:szCs w:val="18"/>
                <w:highlight w:val="none"/>
                <w:vertAlign w:val="baseline"/>
                <w:lang w:val="en-US" w:eastAsia="zh-CN"/>
              </w:rPr>
              <w:t>日9时</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71FB1ABE"/>
    <w:rsid w:val="01C76009"/>
    <w:rsid w:val="028A67B7"/>
    <w:rsid w:val="05616D9A"/>
    <w:rsid w:val="0A4860CC"/>
    <w:rsid w:val="0B225878"/>
    <w:rsid w:val="0BE235BB"/>
    <w:rsid w:val="14D4444F"/>
    <w:rsid w:val="1A9C49A6"/>
    <w:rsid w:val="2800462D"/>
    <w:rsid w:val="29F60E57"/>
    <w:rsid w:val="2A2F67B1"/>
    <w:rsid w:val="2E7B48BE"/>
    <w:rsid w:val="39875E43"/>
    <w:rsid w:val="3B8758AF"/>
    <w:rsid w:val="3C29084F"/>
    <w:rsid w:val="3D5E0C5D"/>
    <w:rsid w:val="41D431CB"/>
    <w:rsid w:val="4D2250EF"/>
    <w:rsid w:val="51680AF0"/>
    <w:rsid w:val="53E322E0"/>
    <w:rsid w:val="56C2517C"/>
    <w:rsid w:val="57417E5B"/>
    <w:rsid w:val="58D331C7"/>
    <w:rsid w:val="5B6E2B54"/>
    <w:rsid w:val="5E7E7DF8"/>
    <w:rsid w:val="60E6441D"/>
    <w:rsid w:val="64131D21"/>
    <w:rsid w:val="67E718D7"/>
    <w:rsid w:val="6D967499"/>
    <w:rsid w:val="6E39493D"/>
    <w:rsid w:val="71FB1ABE"/>
    <w:rsid w:val="74AA42AD"/>
    <w:rsid w:val="753575D8"/>
    <w:rsid w:val="7B9275FB"/>
    <w:rsid w:val="7DC35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我的正文"/>
    <w:basedOn w:val="11"/>
    <w:qFormat/>
    <w:uiPriority w:val="0"/>
    <w:pPr>
      <w:spacing w:line="560" w:lineRule="exact"/>
      <w:ind w:firstLine="200" w:firstLineChars="200"/>
    </w:pPr>
    <w:rPr>
      <w:rFonts w:eastAsia="仿宋_GB2312"/>
      <w:sz w:val="32"/>
      <w:szCs w:val="32"/>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2769</Words>
  <Characters>3075</Characters>
  <Lines>0</Lines>
  <Paragraphs>0</Paragraphs>
  <TotalTime>0</TotalTime>
  <ScaleCrop>false</ScaleCrop>
  <LinksUpToDate>false</LinksUpToDate>
  <CharactersWithSpaces>3111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欧老</cp:lastModifiedBy>
  <dcterms:modified xsi:type="dcterms:W3CDTF">2022-12-09T02:58:21Z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62D06D7DEB334F8492954A8156C6FA94</vt:lpwstr>
  </property>
</Properties>
</file>